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4D" w:rsidRDefault="009A4F54" w:rsidP="009A4F54">
      <w:pPr>
        <w:spacing w:after="0" w:line="240" w:lineRule="auto"/>
        <w:jc w:val="center"/>
      </w:pPr>
      <w:r>
        <w:t>STEP 3</w:t>
      </w:r>
    </w:p>
    <w:p w:rsidR="009A4F54" w:rsidRPr="009A4F54" w:rsidRDefault="009A4F54" w:rsidP="009A4F54">
      <w:pPr>
        <w:spacing w:after="0" w:line="240" w:lineRule="auto"/>
        <w:jc w:val="center"/>
        <w:rPr>
          <w:b/>
          <w:sz w:val="24"/>
        </w:rPr>
      </w:pPr>
      <w:r w:rsidRPr="009A4F54">
        <w:rPr>
          <w:b/>
          <w:sz w:val="24"/>
        </w:rPr>
        <w:t>PROCEDURES FOR EDUCATIVE ASSESSMENT</w:t>
      </w:r>
    </w:p>
    <w:p w:rsidR="009A4F54" w:rsidRDefault="009A4F54"/>
    <w:p w:rsidR="009A4F54" w:rsidRPr="009A4F54" w:rsidRDefault="009A4F54" w:rsidP="009A4F54">
      <w:pPr>
        <w:pStyle w:val="ListParagraph"/>
        <w:numPr>
          <w:ilvl w:val="0"/>
          <w:numId w:val="1"/>
        </w:numPr>
        <w:rPr>
          <w:b/>
        </w:rPr>
      </w:pPr>
      <w:r w:rsidRPr="009A4F54">
        <w:rPr>
          <w:b/>
        </w:rPr>
        <w:t xml:space="preserve">Forward looking assessment: </w:t>
      </w:r>
    </w:p>
    <w:p w:rsidR="009A4F54" w:rsidRDefault="009A4F54" w:rsidP="009A4F54">
      <w:pPr>
        <w:pStyle w:val="ListParagraph"/>
        <w:ind w:left="360"/>
      </w:pPr>
      <w:r>
        <w:t>Formulate one or two ideas for forward looking assessment</w:t>
      </w:r>
      <w:r w:rsidR="00F50C21">
        <w:t>.</w:t>
      </w:r>
    </w:p>
    <w:p w:rsidR="00F50C21" w:rsidRDefault="00F50C21" w:rsidP="00F50C21">
      <w:pPr>
        <w:pStyle w:val="ListParagraph"/>
        <w:ind w:left="360"/>
      </w:pPr>
      <w:r>
        <w:t>Identify a situation in which students are likely to use what they have learned, and try to replicate the situation with a question, problem, issues</w:t>
      </w:r>
      <w:r>
        <w:t>.</w:t>
      </w:r>
    </w:p>
    <w:p w:rsidR="009A4F54" w:rsidRDefault="009A4F54" w:rsidP="009A4F54">
      <w:pPr>
        <w:pStyle w:val="ListParagraph"/>
        <w:ind w:left="360"/>
      </w:pPr>
    </w:p>
    <w:p w:rsidR="009A4F54" w:rsidRDefault="009A4F54" w:rsidP="009A4F54">
      <w:pPr>
        <w:pStyle w:val="ListParagraph"/>
        <w:numPr>
          <w:ilvl w:val="0"/>
          <w:numId w:val="2"/>
        </w:numPr>
      </w:pPr>
      <w:r>
        <w:t xml:space="preserve">Simulation </w:t>
      </w:r>
    </w:p>
    <w:p w:rsidR="009A4F54" w:rsidRDefault="009A4F54" w:rsidP="009A4F54">
      <w:pPr>
        <w:pStyle w:val="ListParagraph"/>
        <w:numPr>
          <w:ilvl w:val="0"/>
          <w:numId w:val="2"/>
        </w:numPr>
      </w:pPr>
      <w:r>
        <w:t>Group Project – Community Project</w:t>
      </w:r>
    </w:p>
    <w:p w:rsidR="009A4F54" w:rsidRDefault="009A4F54" w:rsidP="009A4F54">
      <w:pPr>
        <w:pStyle w:val="ListParagraph"/>
        <w:numPr>
          <w:ilvl w:val="0"/>
          <w:numId w:val="2"/>
        </w:numPr>
      </w:pPr>
      <w:r>
        <w:t>Video Project</w:t>
      </w:r>
      <w:r w:rsidR="00F50C21">
        <w:t xml:space="preserve"> (Vlog)</w:t>
      </w:r>
    </w:p>
    <w:p w:rsidR="009A4F54" w:rsidRDefault="009A4F54" w:rsidP="009A4F54">
      <w:pPr>
        <w:pStyle w:val="ListParagraph"/>
        <w:numPr>
          <w:ilvl w:val="0"/>
          <w:numId w:val="2"/>
        </w:numPr>
      </w:pPr>
      <w:r>
        <w:t>Poster Sessions</w:t>
      </w:r>
    </w:p>
    <w:p w:rsidR="009A4F54" w:rsidRDefault="009A4F54" w:rsidP="009A4F54">
      <w:pPr>
        <w:pStyle w:val="ListParagraph"/>
        <w:ind w:left="360"/>
      </w:pPr>
    </w:p>
    <w:p w:rsidR="009A4F54" w:rsidRPr="009A4F54" w:rsidRDefault="009A4F54" w:rsidP="009A4F54">
      <w:pPr>
        <w:pStyle w:val="ListParagraph"/>
        <w:numPr>
          <w:ilvl w:val="0"/>
          <w:numId w:val="1"/>
        </w:numPr>
        <w:rPr>
          <w:b/>
        </w:rPr>
      </w:pPr>
      <w:r w:rsidRPr="009A4F54">
        <w:rPr>
          <w:b/>
        </w:rPr>
        <w:t xml:space="preserve">Criteria and standards: </w:t>
      </w:r>
    </w:p>
    <w:p w:rsidR="009A4F54" w:rsidRDefault="009A4F54" w:rsidP="009A4F54">
      <w:pPr>
        <w:pStyle w:val="ListParagraph"/>
        <w:ind w:left="360"/>
      </w:pPr>
      <w:r>
        <w:t>Select one of your main learning goals, and identify at least two criteria that would distinguish exceptional achievement from poor performance. Then, write two or three levels of standards for each of these criteria.</w:t>
      </w:r>
    </w:p>
    <w:p w:rsidR="009A4F54" w:rsidRDefault="009A4F54" w:rsidP="009A4F54">
      <w:pPr>
        <w:pStyle w:val="ListParagraph"/>
        <w:ind w:left="360"/>
      </w:pPr>
    </w:p>
    <w:p w:rsidR="00F50C21" w:rsidRPr="000A2153" w:rsidRDefault="00F50C21" w:rsidP="00F50C21">
      <w:pPr>
        <w:rPr>
          <w:rFonts w:ascii="Arial" w:hAnsi="Arial" w:cs="Arial"/>
          <w:b/>
          <w:szCs w:val="20"/>
        </w:rPr>
      </w:pPr>
      <w:r w:rsidRPr="000A2153">
        <w:rPr>
          <w:rFonts w:ascii="Arial" w:hAnsi="Arial" w:cs="Arial"/>
          <w:b/>
          <w:szCs w:val="20"/>
        </w:rPr>
        <w:t>SPEAKING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891"/>
        <w:gridCol w:w="1623"/>
        <w:gridCol w:w="1866"/>
        <w:gridCol w:w="1609"/>
        <w:gridCol w:w="1765"/>
      </w:tblGrid>
      <w:tr w:rsidR="00F50C21" w:rsidRPr="00630E88" w:rsidTr="00F50C21">
        <w:tc>
          <w:tcPr>
            <w:tcW w:w="607" w:type="dxa"/>
            <w:shd w:val="clear" w:color="auto" w:fill="auto"/>
          </w:tcPr>
          <w:p w:rsidR="00F50C21" w:rsidRPr="00630E88" w:rsidRDefault="00F50C21" w:rsidP="00F50C21">
            <w:pPr>
              <w:spacing w:after="0" w:line="240" w:lineRule="auto"/>
              <w:jc w:val="both"/>
              <w:rPr>
                <w:rFonts w:ascii="Arial" w:hAnsi="Arial" w:cs="Arial"/>
                <w:b/>
                <w:sz w:val="20"/>
                <w:szCs w:val="20"/>
              </w:rPr>
            </w:pPr>
            <w:r w:rsidRPr="00630E88">
              <w:rPr>
                <w:rFonts w:ascii="Arial" w:hAnsi="Arial" w:cs="Arial"/>
                <w:b/>
                <w:sz w:val="20"/>
                <w:szCs w:val="20"/>
              </w:rPr>
              <w:t>No</w:t>
            </w:r>
          </w:p>
        </w:tc>
        <w:tc>
          <w:tcPr>
            <w:tcW w:w="1902" w:type="dxa"/>
            <w:shd w:val="clear" w:color="auto" w:fill="auto"/>
          </w:tcPr>
          <w:p w:rsidR="00F50C21" w:rsidRPr="00630E88" w:rsidRDefault="00F50C21" w:rsidP="00F50C21">
            <w:pPr>
              <w:spacing w:after="0" w:line="240" w:lineRule="auto"/>
              <w:jc w:val="both"/>
              <w:rPr>
                <w:rFonts w:ascii="Arial" w:hAnsi="Arial" w:cs="Arial"/>
                <w:b/>
                <w:sz w:val="20"/>
                <w:szCs w:val="20"/>
              </w:rPr>
            </w:pPr>
            <w:r w:rsidRPr="00630E88">
              <w:rPr>
                <w:rFonts w:ascii="Arial" w:hAnsi="Arial" w:cs="Arial"/>
                <w:b/>
                <w:sz w:val="20"/>
                <w:szCs w:val="20"/>
              </w:rPr>
              <w:t>Evaluated Item</w:t>
            </w:r>
          </w:p>
        </w:tc>
        <w:tc>
          <w:tcPr>
            <w:tcW w:w="1676" w:type="dxa"/>
            <w:shd w:val="clear" w:color="auto" w:fill="auto"/>
          </w:tcPr>
          <w:p w:rsidR="00F50C21" w:rsidRPr="00F50C21" w:rsidRDefault="00F50C21" w:rsidP="00F50C21">
            <w:pPr>
              <w:spacing w:after="0" w:line="240" w:lineRule="auto"/>
              <w:jc w:val="both"/>
              <w:rPr>
                <w:rFonts w:ascii="Arial" w:hAnsi="Arial" w:cs="Arial"/>
                <w:b/>
                <w:sz w:val="20"/>
                <w:szCs w:val="20"/>
                <w:highlight w:val="yellow"/>
              </w:rPr>
            </w:pPr>
            <w:r w:rsidRPr="00F50C21">
              <w:rPr>
                <w:rFonts w:ascii="Arial" w:hAnsi="Arial" w:cs="Arial"/>
                <w:b/>
                <w:sz w:val="20"/>
                <w:szCs w:val="20"/>
                <w:highlight w:val="yellow"/>
              </w:rPr>
              <w:t xml:space="preserve">Excellent </w:t>
            </w:r>
          </w:p>
          <w:p w:rsidR="00F50C21" w:rsidRPr="00F50C21" w:rsidRDefault="00F50C21" w:rsidP="00F50C21">
            <w:pPr>
              <w:spacing w:after="0" w:line="240" w:lineRule="auto"/>
              <w:jc w:val="both"/>
              <w:rPr>
                <w:rFonts w:ascii="Arial" w:hAnsi="Arial" w:cs="Arial"/>
                <w:b/>
                <w:sz w:val="20"/>
                <w:szCs w:val="20"/>
                <w:highlight w:val="yellow"/>
              </w:rPr>
            </w:pPr>
            <w:r w:rsidRPr="00F50C21">
              <w:rPr>
                <w:rFonts w:ascii="Arial" w:hAnsi="Arial" w:cs="Arial"/>
                <w:b/>
                <w:sz w:val="20"/>
                <w:szCs w:val="20"/>
                <w:highlight w:val="yellow"/>
              </w:rPr>
              <w:t>(90- 100)</w:t>
            </w:r>
          </w:p>
        </w:tc>
        <w:tc>
          <w:tcPr>
            <w:tcW w:w="1943" w:type="dxa"/>
            <w:shd w:val="clear" w:color="auto" w:fill="auto"/>
          </w:tcPr>
          <w:p w:rsidR="00F50C21" w:rsidRDefault="00F50C21" w:rsidP="00F50C21">
            <w:pPr>
              <w:spacing w:after="0" w:line="240" w:lineRule="auto"/>
              <w:jc w:val="both"/>
              <w:rPr>
                <w:rFonts w:ascii="Arial" w:hAnsi="Arial" w:cs="Arial"/>
                <w:b/>
                <w:sz w:val="20"/>
                <w:szCs w:val="20"/>
              </w:rPr>
            </w:pPr>
            <w:r w:rsidRPr="00630E88">
              <w:rPr>
                <w:rFonts w:ascii="Arial" w:hAnsi="Arial" w:cs="Arial"/>
                <w:b/>
                <w:sz w:val="20"/>
                <w:szCs w:val="20"/>
              </w:rPr>
              <w:t xml:space="preserve">Very Good </w:t>
            </w:r>
          </w:p>
          <w:p w:rsidR="00F50C21" w:rsidRPr="00630E88" w:rsidRDefault="00F50C21" w:rsidP="00F50C21">
            <w:pPr>
              <w:spacing w:after="0" w:line="240" w:lineRule="auto"/>
              <w:jc w:val="both"/>
              <w:rPr>
                <w:rFonts w:ascii="Arial" w:hAnsi="Arial" w:cs="Arial"/>
                <w:b/>
                <w:sz w:val="20"/>
                <w:szCs w:val="20"/>
              </w:rPr>
            </w:pPr>
            <w:r w:rsidRPr="00630E88">
              <w:rPr>
                <w:rFonts w:ascii="Arial" w:hAnsi="Arial" w:cs="Arial"/>
                <w:b/>
                <w:sz w:val="20"/>
                <w:szCs w:val="20"/>
              </w:rPr>
              <w:t>(80 - 89)</w:t>
            </w:r>
          </w:p>
        </w:tc>
        <w:tc>
          <w:tcPr>
            <w:tcW w:w="1654" w:type="dxa"/>
            <w:shd w:val="clear" w:color="auto" w:fill="auto"/>
          </w:tcPr>
          <w:p w:rsidR="00F50C21" w:rsidRDefault="00F50C21" w:rsidP="00F50C21">
            <w:pPr>
              <w:spacing w:after="0" w:line="240" w:lineRule="auto"/>
              <w:jc w:val="both"/>
              <w:rPr>
                <w:rFonts w:ascii="Arial" w:hAnsi="Arial" w:cs="Arial"/>
                <w:b/>
                <w:sz w:val="20"/>
                <w:szCs w:val="20"/>
              </w:rPr>
            </w:pPr>
            <w:r w:rsidRPr="00630E88">
              <w:rPr>
                <w:rFonts w:ascii="Arial" w:hAnsi="Arial" w:cs="Arial"/>
                <w:b/>
                <w:sz w:val="20"/>
                <w:szCs w:val="20"/>
              </w:rPr>
              <w:t xml:space="preserve">Good </w:t>
            </w:r>
          </w:p>
          <w:p w:rsidR="00F50C21" w:rsidRPr="00630E88" w:rsidRDefault="00F50C21" w:rsidP="00F50C21">
            <w:pPr>
              <w:spacing w:after="0" w:line="240" w:lineRule="auto"/>
              <w:jc w:val="both"/>
              <w:rPr>
                <w:rFonts w:ascii="Arial" w:hAnsi="Arial" w:cs="Arial"/>
                <w:b/>
                <w:sz w:val="20"/>
                <w:szCs w:val="20"/>
              </w:rPr>
            </w:pPr>
            <w:r w:rsidRPr="00630E88">
              <w:rPr>
                <w:rFonts w:ascii="Arial" w:hAnsi="Arial" w:cs="Arial"/>
                <w:b/>
                <w:sz w:val="20"/>
                <w:szCs w:val="20"/>
              </w:rPr>
              <w:t>(60-79)</w:t>
            </w:r>
          </w:p>
        </w:tc>
        <w:tc>
          <w:tcPr>
            <w:tcW w:w="1794" w:type="dxa"/>
            <w:shd w:val="clear" w:color="auto" w:fill="auto"/>
          </w:tcPr>
          <w:p w:rsidR="00F50C21" w:rsidRPr="00F50C21" w:rsidRDefault="00F50C21" w:rsidP="00F50C21">
            <w:pPr>
              <w:spacing w:after="0" w:line="240" w:lineRule="auto"/>
              <w:jc w:val="both"/>
              <w:rPr>
                <w:rFonts w:ascii="Arial" w:hAnsi="Arial" w:cs="Arial"/>
                <w:b/>
                <w:sz w:val="20"/>
                <w:szCs w:val="20"/>
                <w:highlight w:val="yellow"/>
              </w:rPr>
            </w:pPr>
            <w:r w:rsidRPr="00F50C21">
              <w:rPr>
                <w:rFonts w:ascii="Arial" w:hAnsi="Arial" w:cs="Arial"/>
                <w:b/>
                <w:sz w:val="20"/>
                <w:szCs w:val="20"/>
                <w:highlight w:val="yellow"/>
              </w:rPr>
              <w:t>Need Improvement (below 59)</w:t>
            </w:r>
          </w:p>
        </w:tc>
      </w:tr>
      <w:tr w:rsidR="00F50C21" w:rsidRPr="002D1605" w:rsidTr="00F50C21">
        <w:tc>
          <w:tcPr>
            <w:tcW w:w="607"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1</w:t>
            </w:r>
          </w:p>
        </w:tc>
        <w:tc>
          <w:tcPr>
            <w:tcW w:w="1902"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Content/message</w:t>
            </w:r>
          </w:p>
        </w:tc>
        <w:tc>
          <w:tcPr>
            <w:tcW w:w="1676" w:type="dxa"/>
            <w:shd w:val="clear" w:color="auto" w:fill="auto"/>
          </w:tcPr>
          <w:p w:rsidR="00F50C21" w:rsidRPr="00F50C21" w:rsidRDefault="00F50C21" w:rsidP="0091584E">
            <w:pPr>
              <w:jc w:val="both"/>
              <w:rPr>
                <w:rFonts w:ascii="Arial" w:hAnsi="Arial" w:cs="Arial"/>
                <w:sz w:val="20"/>
                <w:szCs w:val="20"/>
                <w:highlight w:val="yellow"/>
              </w:rPr>
            </w:pPr>
            <w:r w:rsidRPr="00F50C21">
              <w:rPr>
                <w:rFonts w:ascii="Arial" w:hAnsi="Arial" w:cs="Arial"/>
                <w:sz w:val="20"/>
                <w:szCs w:val="20"/>
                <w:highlight w:val="yellow"/>
              </w:rPr>
              <w:t>Clearly stated and well-organized</w:t>
            </w:r>
          </w:p>
        </w:tc>
        <w:tc>
          <w:tcPr>
            <w:tcW w:w="1943"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Mostly Clearly stated and mostly well-organized</w:t>
            </w:r>
          </w:p>
        </w:tc>
        <w:tc>
          <w:tcPr>
            <w:tcW w:w="1654"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Somewhat Clearly stated and somewhat organized</w:t>
            </w:r>
          </w:p>
        </w:tc>
        <w:tc>
          <w:tcPr>
            <w:tcW w:w="1794" w:type="dxa"/>
            <w:shd w:val="clear" w:color="auto" w:fill="auto"/>
          </w:tcPr>
          <w:p w:rsidR="00F50C21" w:rsidRPr="00F50C21" w:rsidRDefault="00F50C21" w:rsidP="0091584E">
            <w:pPr>
              <w:jc w:val="both"/>
              <w:rPr>
                <w:rFonts w:ascii="Arial" w:hAnsi="Arial" w:cs="Arial"/>
                <w:sz w:val="20"/>
                <w:szCs w:val="20"/>
                <w:highlight w:val="yellow"/>
              </w:rPr>
            </w:pPr>
            <w:r w:rsidRPr="00F50C21">
              <w:rPr>
                <w:rFonts w:ascii="Arial" w:hAnsi="Arial" w:cs="Arial"/>
                <w:sz w:val="20"/>
                <w:szCs w:val="20"/>
                <w:highlight w:val="yellow"/>
              </w:rPr>
              <w:t>Not very clear and organized</w:t>
            </w:r>
          </w:p>
        </w:tc>
      </w:tr>
      <w:tr w:rsidR="00F50C21" w:rsidRPr="002D1605" w:rsidTr="00F50C21">
        <w:tc>
          <w:tcPr>
            <w:tcW w:w="607"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2</w:t>
            </w:r>
          </w:p>
        </w:tc>
        <w:tc>
          <w:tcPr>
            <w:tcW w:w="1902"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Language Fluency</w:t>
            </w:r>
          </w:p>
        </w:tc>
        <w:tc>
          <w:tcPr>
            <w:tcW w:w="1676" w:type="dxa"/>
            <w:shd w:val="clear" w:color="auto" w:fill="auto"/>
          </w:tcPr>
          <w:p w:rsidR="00F50C21" w:rsidRPr="00F50C21" w:rsidRDefault="00F50C21" w:rsidP="0091584E">
            <w:pPr>
              <w:jc w:val="both"/>
              <w:rPr>
                <w:rFonts w:ascii="Arial" w:hAnsi="Arial" w:cs="Arial"/>
                <w:sz w:val="20"/>
                <w:szCs w:val="20"/>
                <w:highlight w:val="yellow"/>
              </w:rPr>
            </w:pPr>
            <w:r w:rsidRPr="00F50C21">
              <w:rPr>
                <w:rFonts w:ascii="Arial" w:hAnsi="Arial" w:cs="Arial"/>
                <w:sz w:val="20"/>
                <w:szCs w:val="20"/>
                <w:highlight w:val="yellow"/>
              </w:rPr>
              <w:t>Fluent (normal speed)</w:t>
            </w:r>
          </w:p>
        </w:tc>
        <w:tc>
          <w:tcPr>
            <w:tcW w:w="1943"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Quite fluent (Minor lapses)</w:t>
            </w:r>
          </w:p>
        </w:tc>
        <w:tc>
          <w:tcPr>
            <w:tcW w:w="1654"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 xml:space="preserve">Somewhat fluent </w:t>
            </w:r>
          </w:p>
        </w:tc>
        <w:tc>
          <w:tcPr>
            <w:tcW w:w="1794" w:type="dxa"/>
            <w:shd w:val="clear" w:color="auto" w:fill="auto"/>
          </w:tcPr>
          <w:p w:rsidR="00F50C21" w:rsidRPr="00F50C21" w:rsidRDefault="00F50C21" w:rsidP="0091584E">
            <w:pPr>
              <w:jc w:val="both"/>
              <w:rPr>
                <w:rFonts w:ascii="Arial" w:hAnsi="Arial" w:cs="Arial"/>
                <w:sz w:val="20"/>
                <w:szCs w:val="20"/>
                <w:highlight w:val="yellow"/>
              </w:rPr>
            </w:pPr>
            <w:r w:rsidRPr="00F50C21">
              <w:rPr>
                <w:rFonts w:ascii="Arial" w:hAnsi="Arial" w:cs="Arial"/>
                <w:sz w:val="20"/>
                <w:szCs w:val="20"/>
                <w:highlight w:val="yellow"/>
              </w:rPr>
              <w:t>Not fluent</w:t>
            </w:r>
          </w:p>
        </w:tc>
      </w:tr>
      <w:tr w:rsidR="00F50C21" w:rsidRPr="002D1605" w:rsidTr="00F50C21">
        <w:tc>
          <w:tcPr>
            <w:tcW w:w="607"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3</w:t>
            </w:r>
          </w:p>
        </w:tc>
        <w:tc>
          <w:tcPr>
            <w:tcW w:w="1902"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Language Accuracy</w:t>
            </w:r>
          </w:p>
        </w:tc>
        <w:tc>
          <w:tcPr>
            <w:tcW w:w="1676" w:type="dxa"/>
            <w:shd w:val="clear" w:color="auto" w:fill="auto"/>
          </w:tcPr>
          <w:p w:rsidR="00F50C21" w:rsidRPr="00F50C21" w:rsidRDefault="00F50C21" w:rsidP="0091584E">
            <w:pPr>
              <w:jc w:val="both"/>
              <w:rPr>
                <w:rFonts w:ascii="Arial" w:hAnsi="Arial" w:cs="Arial"/>
                <w:sz w:val="20"/>
                <w:szCs w:val="20"/>
                <w:highlight w:val="yellow"/>
              </w:rPr>
            </w:pPr>
            <w:r w:rsidRPr="00F50C21">
              <w:rPr>
                <w:rFonts w:ascii="Arial" w:hAnsi="Arial" w:cs="Arial"/>
                <w:sz w:val="20"/>
                <w:szCs w:val="20"/>
                <w:highlight w:val="yellow"/>
              </w:rPr>
              <w:t>90 – 100% accuracy</w:t>
            </w:r>
          </w:p>
        </w:tc>
        <w:tc>
          <w:tcPr>
            <w:tcW w:w="1943"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Up to 80 – 89 % accuracy</w:t>
            </w:r>
          </w:p>
        </w:tc>
        <w:tc>
          <w:tcPr>
            <w:tcW w:w="1654" w:type="dxa"/>
            <w:shd w:val="clear" w:color="auto" w:fill="auto"/>
          </w:tcPr>
          <w:p w:rsidR="00F50C21" w:rsidRPr="002D1605" w:rsidRDefault="00F50C21" w:rsidP="0091584E">
            <w:pPr>
              <w:jc w:val="both"/>
              <w:rPr>
                <w:rFonts w:ascii="Arial" w:hAnsi="Arial" w:cs="Arial"/>
                <w:sz w:val="20"/>
                <w:szCs w:val="20"/>
              </w:rPr>
            </w:pPr>
            <w:r w:rsidRPr="002D1605">
              <w:rPr>
                <w:rFonts w:ascii="Arial" w:hAnsi="Arial" w:cs="Arial"/>
                <w:sz w:val="20"/>
                <w:szCs w:val="20"/>
              </w:rPr>
              <w:t>Up to 60 - 79 % accuracy</w:t>
            </w:r>
          </w:p>
        </w:tc>
        <w:tc>
          <w:tcPr>
            <w:tcW w:w="1794" w:type="dxa"/>
            <w:shd w:val="clear" w:color="auto" w:fill="auto"/>
          </w:tcPr>
          <w:p w:rsidR="00F50C21" w:rsidRPr="00F50C21" w:rsidRDefault="00F50C21" w:rsidP="0091584E">
            <w:pPr>
              <w:jc w:val="both"/>
              <w:rPr>
                <w:rFonts w:ascii="Arial" w:hAnsi="Arial" w:cs="Arial"/>
                <w:sz w:val="20"/>
                <w:szCs w:val="20"/>
                <w:highlight w:val="yellow"/>
              </w:rPr>
            </w:pPr>
            <w:r w:rsidRPr="00F50C21">
              <w:rPr>
                <w:rFonts w:ascii="Arial" w:hAnsi="Arial" w:cs="Arial"/>
                <w:sz w:val="20"/>
                <w:szCs w:val="20"/>
                <w:highlight w:val="yellow"/>
              </w:rPr>
              <w:t>Below 60% accuracy</w:t>
            </w:r>
          </w:p>
        </w:tc>
      </w:tr>
    </w:tbl>
    <w:p w:rsidR="00F50C21" w:rsidRDefault="00F50C21" w:rsidP="00F50C21">
      <w:pPr>
        <w:jc w:val="both"/>
        <w:rPr>
          <w:rFonts w:ascii="Arial" w:hAnsi="Arial" w:cs="Arial"/>
          <w:sz w:val="20"/>
          <w:szCs w:val="20"/>
        </w:rPr>
      </w:pPr>
    </w:p>
    <w:p w:rsidR="009A4F54" w:rsidRDefault="009A4F54" w:rsidP="009A4F54">
      <w:pPr>
        <w:pStyle w:val="ListParagraph"/>
        <w:ind w:left="360"/>
      </w:pPr>
    </w:p>
    <w:p w:rsidR="009A4F54" w:rsidRPr="009A4F54" w:rsidRDefault="009A4F54" w:rsidP="009A4F54">
      <w:pPr>
        <w:pStyle w:val="ListParagraph"/>
        <w:numPr>
          <w:ilvl w:val="0"/>
          <w:numId w:val="1"/>
        </w:numPr>
        <w:rPr>
          <w:b/>
        </w:rPr>
      </w:pPr>
      <w:r w:rsidRPr="009A4F54">
        <w:rPr>
          <w:b/>
        </w:rPr>
        <w:t xml:space="preserve">Self-assessment: </w:t>
      </w:r>
    </w:p>
    <w:p w:rsidR="009A4F54" w:rsidRDefault="009A4F54" w:rsidP="009A4F54">
      <w:pPr>
        <w:pStyle w:val="ListParagraph"/>
        <w:ind w:left="360"/>
      </w:pPr>
      <w:r>
        <w:t>What opportunities can you create for students to engage in self-assessment of their performance.</w:t>
      </w:r>
    </w:p>
    <w:p w:rsidR="009A4F54" w:rsidRDefault="00F50C21" w:rsidP="00F50C21">
      <w:pPr>
        <w:pStyle w:val="ListParagraph"/>
        <w:numPr>
          <w:ilvl w:val="0"/>
          <w:numId w:val="3"/>
        </w:numPr>
      </w:pPr>
      <w:r>
        <w:t>Peer Review</w:t>
      </w:r>
    </w:p>
    <w:p w:rsidR="00F50C21" w:rsidRDefault="00F50C21" w:rsidP="00F50C21">
      <w:pPr>
        <w:pStyle w:val="ListParagraph"/>
        <w:numPr>
          <w:ilvl w:val="0"/>
          <w:numId w:val="3"/>
        </w:numPr>
      </w:pPr>
      <w:r>
        <w:t>Self-evaluation checklist</w:t>
      </w:r>
    </w:p>
    <w:p w:rsidR="00F50C21" w:rsidRDefault="00F50C21" w:rsidP="00F50C21">
      <w:pPr>
        <w:pStyle w:val="ListParagraph"/>
        <w:numPr>
          <w:ilvl w:val="0"/>
          <w:numId w:val="3"/>
        </w:numPr>
      </w:pPr>
      <w:r>
        <w:t>Reflective Learning journal</w:t>
      </w:r>
    </w:p>
    <w:p w:rsidR="00F50C21" w:rsidRDefault="00F50C21" w:rsidP="00F50C21">
      <w:pPr>
        <w:pStyle w:val="ListParagraph"/>
        <w:numPr>
          <w:ilvl w:val="0"/>
          <w:numId w:val="3"/>
        </w:numPr>
      </w:pPr>
      <w:r>
        <w:t>Rubrics</w:t>
      </w:r>
    </w:p>
    <w:p w:rsidR="00F50C21" w:rsidRDefault="00F50C21" w:rsidP="00F50C21">
      <w:pPr>
        <w:pStyle w:val="ListParagraph"/>
        <w:ind w:left="1440"/>
      </w:pPr>
    </w:p>
    <w:p w:rsidR="00F50C21" w:rsidRDefault="00F50C21" w:rsidP="00F50C21">
      <w:pPr>
        <w:pStyle w:val="ListParagraph"/>
        <w:ind w:left="1440"/>
      </w:pPr>
    </w:p>
    <w:p w:rsidR="009A4F54" w:rsidRPr="009A4F54" w:rsidRDefault="009A4F54" w:rsidP="009A4F54">
      <w:pPr>
        <w:pStyle w:val="ListParagraph"/>
        <w:numPr>
          <w:ilvl w:val="0"/>
          <w:numId w:val="1"/>
        </w:numPr>
        <w:rPr>
          <w:b/>
        </w:rPr>
      </w:pPr>
      <w:r w:rsidRPr="009A4F54">
        <w:rPr>
          <w:b/>
        </w:rPr>
        <w:t>“</w:t>
      </w:r>
      <w:proofErr w:type="spellStart"/>
      <w:r w:rsidRPr="009A4F54">
        <w:rPr>
          <w:b/>
        </w:rPr>
        <w:t>FIDeLity</w:t>
      </w:r>
      <w:proofErr w:type="spellEnd"/>
      <w:r w:rsidRPr="009A4F54">
        <w:rPr>
          <w:b/>
        </w:rPr>
        <w:t xml:space="preserve">” feedback: </w:t>
      </w:r>
    </w:p>
    <w:p w:rsidR="009A4F54" w:rsidRDefault="009A4F54" w:rsidP="009A4F54">
      <w:pPr>
        <w:pStyle w:val="ListParagraph"/>
        <w:ind w:left="360"/>
      </w:pPr>
      <w:r>
        <w:t xml:space="preserve">What procedure can you develop that will allow you to give students feedback that is: </w:t>
      </w:r>
    </w:p>
    <w:p w:rsidR="009A4F54" w:rsidRDefault="009A4F54" w:rsidP="009A4F54">
      <w:pPr>
        <w:pStyle w:val="ListParagraph"/>
        <w:ind w:left="360"/>
      </w:pPr>
      <w:r>
        <w:t xml:space="preserve">(1) </w:t>
      </w:r>
      <w:r w:rsidRPr="009A4F54">
        <w:rPr>
          <w:b/>
        </w:rPr>
        <w:t>F</w:t>
      </w:r>
      <w:r>
        <w:t xml:space="preserve">requent </w:t>
      </w:r>
      <w:r w:rsidR="001D351D">
        <w:t>– Technology based</w:t>
      </w:r>
    </w:p>
    <w:p w:rsidR="009A4F54" w:rsidRDefault="009A4F54" w:rsidP="009A4F54">
      <w:pPr>
        <w:pStyle w:val="ListParagraph"/>
        <w:ind w:left="360"/>
      </w:pPr>
      <w:r>
        <w:t xml:space="preserve">(2) </w:t>
      </w:r>
      <w:r w:rsidRPr="009A4F54">
        <w:rPr>
          <w:b/>
        </w:rPr>
        <w:t>I</w:t>
      </w:r>
      <w:r>
        <w:t xml:space="preserve">mmediate </w:t>
      </w:r>
      <w:r w:rsidR="001D351D">
        <w:t>– Technology-based</w:t>
      </w:r>
      <w:r w:rsidR="004C21CA">
        <w:t>, oral feedback</w:t>
      </w:r>
    </w:p>
    <w:p w:rsidR="009A4F54" w:rsidRDefault="009A4F54" w:rsidP="009A4F54">
      <w:pPr>
        <w:pStyle w:val="ListParagraph"/>
        <w:ind w:left="360"/>
      </w:pPr>
      <w:r>
        <w:t xml:space="preserve">(3) </w:t>
      </w:r>
      <w:r w:rsidRPr="009A4F54">
        <w:rPr>
          <w:b/>
        </w:rPr>
        <w:t>D</w:t>
      </w:r>
      <w:r>
        <w:t xml:space="preserve">iscriminating (e.g. based on clear criteria and standard) </w:t>
      </w:r>
      <w:r w:rsidR="001D351D">
        <w:t>-- Rubrics</w:t>
      </w:r>
    </w:p>
    <w:p w:rsidR="009A4F54" w:rsidRDefault="009A4F54" w:rsidP="009A4F54">
      <w:pPr>
        <w:pStyle w:val="ListParagraph"/>
        <w:ind w:left="360"/>
      </w:pPr>
      <w:r>
        <w:t xml:space="preserve">(4) </w:t>
      </w:r>
      <w:r w:rsidRPr="009A4F54">
        <w:rPr>
          <w:b/>
        </w:rPr>
        <w:t>L</w:t>
      </w:r>
      <w:r>
        <w:t xml:space="preserve">ovingly delivered </w:t>
      </w:r>
      <w:r w:rsidR="001D351D">
        <w:t>– Personal feedback, giving compliments (highlighting improvements), Highlighting points that need improvement</w:t>
      </w:r>
      <w:r w:rsidR="004C21CA">
        <w:t>, positive reinforcement</w:t>
      </w:r>
      <w:bookmarkStart w:id="0" w:name="_GoBack"/>
      <w:bookmarkEnd w:id="0"/>
    </w:p>
    <w:p w:rsidR="001D351D" w:rsidRDefault="001D351D" w:rsidP="009A4F54">
      <w:pPr>
        <w:pStyle w:val="ListParagraph"/>
        <w:ind w:left="360"/>
      </w:pPr>
    </w:p>
    <w:p w:rsidR="004C21CA" w:rsidRDefault="004C21CA" w:rsidP="009A4F54">
      <w:pPr>
        <w:pStyle w:val="ListParagraph"/>
        <w:ind w:left="360"/>
      </w:pPr>
    </w:p>
    <w:sectPr w:rsidR="004C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72A"/>
    <w:multiLevelType w:val="hybridMultilevel"/>
    <w:tmpl w:val="A3D82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2316A"/>
    <w:multiLevelType w:val="hybridMultilevel"/>
    <w:tmpl w:val="E022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69AF"/>
    <w:multiLevelType w:val="hybridMultilevel"/>
    <w:tmpl w:val="8A42A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54"/>
    <w:rsid w:val="001D351D"/>
    <w:rsid w:val="004C21CA"/>
    <w:rsid w:val="009A4F54"/>
    <w:rsid w:val="00AA0F82"/>
    <w:rsid w:val="00EB4D80"/>
    <w:rsid w:val="00F5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1598"/>
  <w15:chartTrackingRefBased/>
  <w15:docId w15:val="{0E95DF28-6988-480B-975A-B2016219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3</cp:revision>
  <dcterms:created xsi:type="dcterms:W3CDTF">2018-03-09T03:49:00Z</dcterms:created>
  <dcterms:modified xsi:type="dcterms:W3CDTF">2018-03-09T04:07:00Z</dcterms:modified>
</cp:coreProperties>
</file>